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1165. “动力电池回收，退役电池重生”——退役潮下车主电池处置意愿及回收渠道需求调查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研究对象：动力电池回收企业、车企、电池消费者（车主）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核心问题/变量：电池退役潮（8年质保到期）、回收渠道（正规vs小作坊）、梯次利用（储能/备电）、回收价格、车主处置感知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H1：电池退役潮（8年质保到期）、回收渠道（正规vs小作坊）显著影响车主处置感知（待验证）；H2：不同人群（年龄/收入/城市等级）在上述关系中存在调节作用（待验证）。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🔶动力电池回收利用政策（工信部）；🔶退役电池规模数据（须下载核验）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回收企业访谈+车主问卷；获奖黑名单核对：近三年无动力电池回收获奖题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🔶动力电池回收利用政策（工信部）；🔶退役电池规模数据（须下载核验）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