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1166. “塑料瓶重生，rPET循环梦”——消费者再生塑料产品接受度及溢价支付意愿调查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确定行业：15_绿色低碳与循环经济（选择理由：贴合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研究对象：购买rPET再生塑料产品（饮料瓶/纺织）的消费者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核心问题/变量：rPET认知（回收瓶再造）、再生材料产品购买（环保标签）、食品级再生瓶安全信任、溢价接受、循环品牌选择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H1：rPET认知（回收瓶再造）、再生材料产品购买（环保标签）显著影响循环品牌选择（待验证）；H2：不同人群（年龄/收入/城市等级）在上述关系中存在调节作用（待验证）。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🔶食品接触再生塑料政策（市场监管总局、卫健委）；🔶rPET市场数据（须下载核验）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超市/电商问卷+再生企业访谈；获奖黑名单核对：近三年无rPET获奖题（区别于218再生纤维泛题，聚焦食品级循环）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🔶食品接触再生塑料政策（市场监管总局、卫健委）；🔶rPET市场数据（须下载核验）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