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1169. “二手时尚，中古店淘金”——中古店二手时尚消费需求与复购意愿调查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研究对象：光顾中古店（中古包/古着）的时尚消费者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核心问题/变量：中古消费动机（稀缺/保值/环保）、中古包价格（香奈儿中古）、真假鉴定（鉴定费）、古着卫生顾虑、复购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H1：中古消费动机（稀缺/保值/环保）、中古包价格（香奈儿中古）显著影响复购（待验证）；H2：不同人群（年龄/收入/城市等级）在上述关系中存在调节作用（待验证）。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🔶二手商品流通与鉴定规范（市场监管总局）；🔶中古市场数据（须下载核验）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中古店实地问卷+店主访谈；获奖黑名单核对：近三年无中古店获奖题（区别于217古着回潮、514租衣，聚焦中古业态）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🔶二手商品流通与鉴定规范（市场监管总局）；🔶中古市场数据（须下载核验）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