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1170. “碳积分2.0，全民碳账本”——个人碳账户激励效果与持续参与意愿调查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研究对象：参与个人碳账户（碳积分/碳普惠）的市民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核心问题/变量：个人碳账户开通（乘车/骑行/绿色消费积碳）、积分兑换（权益）、碳账户激励效果、企业碳普惠（支付宝森林）、持续参与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个人碳账户开通（乘车/骑行/绿色消费积碳）、积分兑换（权益）（持续参与）之间存在可检验的关系，且受群体差异（年龄/收入/地区/身份）调节（待验证）；H2：个人碳账户开通（乘车/骑行/绿色消费积碳）、积分兑换（权益）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🔶个人碳账户试点政策（发改委、地方）；🔶碳普惠数据（须下载核验）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市民问卷+碳普惠平台访谈；获奖黑名单核对：近三年无个人碳账户获奖题（区别于90/715碳普惠泛题，聚焦账户机制）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🔶个人碳账户试点政策（发改委、地方）；🔶碳普惠数据（须下载核验）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