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117. “以竹代塑，绿色生活”——以竹代塑产品消费认知与购买研究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研究对象：购买过或了解剩菜盲盒/临期食品盲盒的 18—40 岁消费者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核心问题/变量：尝鲜动机、价格敏感、食品安全担忧、品牌信任、复购与传播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H1：尝鲜动机、价格敏感显著影响复购与传播（待验证）；H2：不同人群（年龄/收入/城市等级）在上述关系中存在调节作用（待验证）。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🔶剩菜盲盒为社交媒体热门消费形式（惜食魔法袋等平台发展，媒体线索）；✅《反食品浪费法》（2021年施行，法律背景）；✅临期食品消费（第三批70题姊妹篇）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惜食魔法袋类平台用户/咖啡烘焙店渠道；契合《反食品浪费法》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🔶剩菜盲盒为社交媒体热门消费形式（惜食魔法袋等平台发展，媒体线索）；✅《反食品浪费法》（2021年施行，法律背景）；✅临期食品消费（第三批70题姊妹篇）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