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217. “旧衣新生，古着回潮”——旧衣回收与古着消费的环保动机与品质顾虑研究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研究对象：参与旧衣回收或购买古着的 18—40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核心问题/变量：回收渠道（回收箱/平台上门）、动机（环保/省钱/时尚）、古着购买频率、品质顾虑、循环认同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H1：回收渠道（回收箱/平台上门）、动机（环保/省钱/时尚）显著影响循环认同（待验证）；H2：不同人群（年龄/收入/城市等级）在上述关系中存在调节作用（待验证）。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🔶旧衣回收与古着市场规模（行业报告需核验）；✅循环经济政策（发改委"以竹代塑"等绿色消费政策背景）；✅二手闲置交易用户规模（🔶闲鱼报告需下载）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古着店/旧衣回收平台社群渠道；与28题（二手数码）区分：聚焦服装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🔶旧衣回收与古着市场规模（行业报告需核验）；✅循环经济政策（发改委"以竹代塑"等绿色消费政策背景）；✅二手闲置交易用户规模（🔶闲鱼报告需下载）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