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218. “再生材料，绿色买单”——环保材质产品的购买动机与溢价支付意愿研究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研究对象：购买过环保材质（再生塑料瓶/再生纤维服饰/环保包装）产品的消费者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核心问题/变量：环保材质认知、购买动机、溢价接受（清洁标签68%溢价背景）、品质信任、复购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H1：环保材质认知、购买动机显著影响复购（待验证）；H2：不同人群（年龄/收入/城市等级）在上述关系中存在调节作用（待验证）。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✅68%消费者愿为"清洁标签"付溢价（第五六轮证据复用）；🔶再生材料消费调研（行业报告需核验）；✅"双碳"政策与绿色消费促进政策背景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环保品牌（Patagonia/Allbirds/国产环保系列）用户渠道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✅68%消费者愿为"清洁标签"付溢价（第五六轮证据复用）；🔶再生材料消费调研（行业报告需核验）；✅"双碳"政策与绿色消费促进政策背景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