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219. “绿色外卖，少一分浪费”——外卖绿色消费（无餐具、绿色积分、环保包装）行为研究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研究对象：常点外卖的 18—40 岁消费者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核心问题/变量："无需餐具"勾选率、餐具浪费感知、环保积分激励效果、包装评价、绿色意愿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H1："无需餐具"勾选率、餐具浪费感知显著影响绿色意愿（待验证）；H2：不同人群（年龄/收入/城市等级）在上述关系中存在调节作用（待验证）。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🔶外卖绿色消费数据（美团/饿了么绿色行动报告需下载）；✅《反食品浪费法》与限塑政策背景；✅绿色消费理念推广（政策背景）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外卖用户线上问卷+平台数据（订单备注分析）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🔶外卖绿色消费数据（美团/饿了么绿色行动报告需下载）；✅《反食品浪费法》与限塑政策背景；✅绿色消费理念推广（政策背景）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