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028. “旧物新生，循环消费”——居民二手家电、二手数码产品交易意愿与渠道信任研究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研究对象：18—45 岁城市居民。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核心问题/变量：价格优势、质量担忧、隐私安全、平台信任、环保意识、交易意愿。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H1：价格优势、质量担忧显著影响交易意愿。（待验证）；H2：不同人群（年龄/收入/城市等级）在上述关系中存在调节作用（待验证）。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S4，新质生产力和绿色消费政策目录；正式参赛前补充商务部门以旧换新政策原文。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比较二手手机、二手家电和二手家具三个品类。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S4，新质生产力和绿色消费政策目录；正式参赛前补充商务部门以旧换新政策原文。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