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363. “闲鱼回血，二手人生”——二手交易平台买卖行为与信任感知研究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研究对象：在闲鱼/转转买卖过闲置（数码/服饰/家具）的用户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核心问题/变量：买卖品类、定价与砍价、信用/验货信任、纠纷经历、环保认知、买卖频次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H1：买卖品类、定价与砍价显著影响买卖频次（待验证）；H2：不同人群（年龄/收入/城市等级）在上述关系中存在调节作用（待验证）。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✅2025年国内闲置物品交易规模预计突破3万亿元；✅国务院"固废十条"要求至少安排1%左右产业用地扶持资源循环利用；✅"循环经济"理念写入生态环境法典（背景）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二手平台用户社群渠道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✅2025年国内闲置物品交易规模预计突破3万亿元；✅国务院"固废十条"要求至少安排1%左右产业用地扶持资源循环利用；✅"循环经济"理念写入生态环境法典（背景）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