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364. “旧手机旧家电，去哪了”——旧家电回收处置行为与渠道信任研究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研究对象：处理过旧手机/旧家电/旧衣物的家庭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核心问题/变量：处置方式（回收/闲置/丢弃）、上门回收使用、渠道信任（隐私清除）、换新补贴联动、绿色认知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处置方式（回收/闲置/丢弃）、上门回收使用（绿色认知）之间存在可检验的关系，且受群体差异（年龄/收入/地区/身份）调节（待验证）；H2：处置方式（回收/闲置/丢弃）、上门回收使用是影响绿色认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3月工信部等六部门《关于促进光伏组件综合利用的指导意见》：2027年光伏组件综合利用量累计达25万吨；✅2025年以旧换新带动家电销售超26万亿元（第十一轮证据）；✅3C"以旧换新"国标（市场监管总局2026，第七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家电卖场以旧换新点+社区渠道；与61题（以旧换新）区分：聚焦回收端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3月工信部等六部门《关于促进光伏组件综合利用的指导意见》：2027年光伏组件综合利用量累计达25万吨；✅2025年以旧换新带动家电销售超26万亿元（第十一轮证据）；✅3C"以旧换新"国标（市场监管总局2026，第七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