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365. “少用塑料袋，减塑生活”——绿色减塑消费行为与替代品支付意愿研究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研究对象：有环保意识、尝试减塑（自带杯/布袋/可降解）的消费者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核心问题/变量：减塑行为、可降解制品价格接受、替代品使用障碍、品牌绿色行动认可、消费意愿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H1：减塑行为、可降解制品价格接受显著影响消费意愿（待验证）；H2：不同人群（年龄/收入/城市等级）在上述关系中存在调节作用（待验证）。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🔶限塑令/禁塑令执行（国家发改委/生态环境部政策）需核验；✅绿色消费政策（《促进绿色消费实施方案》）；✅68%消费者愿为"清洁标签"付溢价（已核验）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咖啡店/商超现场+环保社群；与219题（绿色外卖）区分：聚焦个人日常减塑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🔶限塑令/禁塑令执行（国家发改委/生态环境部政策）需核验；✅绿色消费政策（《促进绿色消费实施方案》）；✅68%消费者愿为"清洁标签"付溢价（已核验）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