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640. “旧衣回收箱，衣服去哪了”——居民旧衣捐赠行为与回收激励偏好调查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研究对象：将旧衣投入回收箱/卖给回收平台的居民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核心问题/变量：旧衣处理方式、回收箱信任（流向公开）、回收平台使用、捐赠vs再生认知、激励（积分/现金）偏好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旧衣处理方式、回收箱信任（流向公开）（激励（积分/现金）偏好）之间存在可检验的关系，且受群体差异（年龄/收入/地区/身份）调节（待验证）；H2：旧衣处理方式、回收箱信任（流向公开）是影响激励（积分/现金）偏好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✅废旧纺织品循环利用政策（发改委）；🔶旧衣回收去向报道（央媒须下载核验）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社区问卷+回收企业访谈；获奖黑名单核对：近三年无旧衣回收获奖题（区别于217古着购买）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✅废旧纺织品循环利用政策（发改委）；🔶旧衣回收去向报道（央媒须下载核验）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