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066. “能效升级，绿色家电”——一级能效家电补贴下居民绿色消费行为与换新意愿研究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研究对象：近一年购买过家电的居民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核心问题/变量：能效认知、绿色价值观、补贴影响、购买决策、使用评价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H1：能效认知、绿色价值观显著影响使用评价（待验证）；H2：不同人群（年龄/收入/城市等级）在上述关系中存在调节作用（待验证）。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✅补贴限一级能效/水效产品（6类家电15%补贴，697号文）；✅绿色消费政策导向（国家发展改革委等稳增长扩消费政策）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家电卖场消费者拦截问卷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✅补贴限一级能效/水效产品（6类家电15%补贴，697号文）；✅绿色消费政策导向（国家发展改革委等稳增长扩消费政策）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