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674. “空瓶回收计划，瓶瓶有请”——化妆品空瓶回收参与意愿与便利化需求调查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研究对象：参与品牌空瓶回收计划（美妆/咖啡）的消费者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核心问题/变量：空瓶回收参与度、激励（积分/赠品）吸引、品牌ESG形象感知、回收旅程（快递/门店）、可持续消费认同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H1：空瓶回收参与度、激励（积分/赠品）吸引显著影响可持续消费认同（待验证）；H2：不同人群（年龄/收入/城市等级）在上述关系中存在调节作用（待验证）。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🔶品牌空瓶回收计划报道（时尚媒体须下载核验）；✅绿色消费实施方案（发改委）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品牌会员社群问卷+品牌方访谈；获奖黑名单核对：近三年无空瓶回收获奖题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🔶品牌空瓶回收计划报道（时尚媒体须下载核验）；✅绿色消费实施方案（发改委）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