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715. “碳积分兑换，绿色激励”——碳普惠机制下居民碳积分兑换参与研究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确定行业：15_绿色低碳与循环经济（选择理由：贴合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研究对象：参与碳普惠（地铁/骑车/垃圾分类换积分）的市民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核心问题/变量：碳积分认知度、兑换激励偏好（实物/优惠/种树）、行为改变（低碳出行）、机制满意度、持续参与意愿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碳积分认知度、兑换激励偏好（实物/优惠/种树）（持续参与意愿）之间存在可检验的关系，且受群体差异（年龄/收入/地区/身份）调节（待验证）；H2：碳积分认知度、兑换激励偏好（实物/优惠/种树）是影响持续参与意愿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✅碳普惠机制试点政策（发改委、生态环境部）；🔶碳积分平台数据（须下载核验）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试点城市问卷+运营方访谈；获奖黑名单核对：近三年无碳积分获奖题（区别于90绿色消费）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✅碳普惠机制试点政策（发改委、生态环境部）；🔶碳积分平台数据（须下载核验）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