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785. “绿色家电下乡，以旧换新进村”——农村绿色家电购买意愿与换新政策知晓度研究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研究对象：参与家电以旧换新/购买节能家电的农村居民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核心问题/变量：农村换新补贴知晓、旧家电回收处理、能效等级认知、绿色家电购买意愿（一级能效）、渠道（乡镇网点）与障碍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农村换新补贴知晓、旧家电回收处理（渠道（乡镇网点）与障碍）之间存在可检验的关系，且受群体差异（年龄/收入/地区/身份）调节（待验证）；H2：农村换新补贴知晓、旧家电回收处理是影响渠道（乡镇网点）与障碍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✅家电以旧换新与绿色智能政策（发改委、商务部）；🔶农村家电销售数据（须下载核验）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农村渠道问卷+乡镇经销商访谈；获奖黑名单核对：近三年无农村家电换新获奖题（区别于65家电下乡泛题）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✅家电以旧换新与绿色智能政策（发改委、商务部）；🔶农村家电销售数据（须下载核验）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