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807. “共享单车报废潮，骑行碳减排”——共享单车废旧车辆回收需求与骑行用户循环参与意愿研究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确定行业：15_绿色低碳与循环经济（选择理由：贴合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研究对象：共享单车运营企业、回收处理企业、骑行用户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核心问题/变量：报废车辆数量感知、回收处理链（拆解/再生）、用户骑行碳减排认知、减量循环参与（旧车翻新）、绿色出行激励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报废车辆数量感知、回收处理链（拆解/再生）（绿色出行激励）之间存在可检验的关系，且受群体差异（年龄/收入/地区/身份）调节（待验证）；H2：报废车辆数量感知、回收处理链（拆解/再生）是影响绿色出行激励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🔶共享单车报废回收报道（央媒须下载核验）；✅循环经济促进法（发改委）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运营企业访谈+用户问卷；获奖黑名单核对：近三年无共享单车回收获奖题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🔶共享单车报废回收报道（央媒须下载核验）；✅循环经济促进法（发改委）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