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827. “快递绿色包装，瘦身行动”——快递绿色包装接受度与循环回收参与意愿研究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研究对象：网购用户、快递业务员、绿色包装试点企业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核心问题/变量：绿色包装（循环箱/免胶带）接受度、开箱体验（隐私/破损）、回收装置使用、电商平台绿色选项选择、参与意愿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H1：绿色包装（循环箱/免胶带）接受度、开箱体验（隐私/破损）显著影响参与意愿（待验证）；H2：不同人群（年龄/收入/城市等级）在上述关系中存在调节作用（待验证）。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🔶快递包装绿色转型行动方案（国家邮政局、发改委）；🔶绿色包装试点数据（须下载核验）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快递网点问卷+平台访谈；获奖黑名单核对：近三年无快递绿色包装获奖题（区别于235绿色包装消费类）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🔶快递包装绿色转型行动方案（国家邮政局、发改委）；🔶绿色包装试点数据（须下载核验）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