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103. “国乙世界，恋爱代偿”——国产乙女游戏消费行为与情感需求研究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研究对象：玩过国产乙女游戏（恋与深空/光与夜之恋/如鸢等）的女性玩家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核心问题/变量：消费动机（情感代偿/剧情沉浸/收藏）、月均氪金、周边（谷子）消费、情感满足、消费争议感知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H1：消费动机（情感代偿/剧情沉浸/收藏）、月均氪金显著影响消费争议感知（待验证）；H2：不同人群（年龄/收入/城市等级）在上述关系中存在调节作用（待验证）。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✅《恋与深空》2026年4月国服流水约2.55亿元、女性向手游"28连冠"（七麦/Sensor Tower，🔶口径）；✅截至2026年3月全球累计收入超10亿美元；✅新四大国乙2024年10月合计流水7.28亿元（36氪）；✅天猫旗舰店开业3天购物金破2.1亿元（凤凰网科技）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乙游社群/超话渠道，样本易得且热情高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✅《恋与深空》2026年4月国服流水约2.55亿元、女性向手游"28连冠"（七麦/Sensor Tower，🔶口径）；✅截至2026年3月全球累计收入超10亿美元；✅新四大国乙2024年10月合计流水7.28亿元（36氪）；✅天猫旗舰店开业3天购物金破2.1亿元（凤凰网科技）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