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112. “汉服簪花，古城顶流”——国风妆造、簪花旅拍体验消费与文旅带动研究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研究对象：体验过汉服妆造/簪花围/旅拍的游客或爱好者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核心问题/变量：体验动机（出片/文化）、消费金额（妆造/租赁/摄影）、满意度、分享传播、带动同行消费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H1：体验动机（出片/文化）、消费金额（妆造/租赁/摄影）显著影响带动同行消费（待验证）；H2：不同人群（年龄/收入/城市等级）在上述关系中存在调节作用（待验证）。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🔶泉州"簪花围"爆火带动古城旅拍（多家权威媒体报道，需引原文）；✅文旅融合促消费政策背景（文旅部/商务部）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当地古街/旅拍店现场调研；泉州簪花围等为现象级城市案例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🔶泉州"簪花围"爆火带动古城旅拍（多家权威媒体报道，需引原文）；✅文旅融合促消费政策背景（文旅部/商务部）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