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1251. “谷子店倒闭潮，吃谷退烧？”——谷子店经营痛点与转型意愿调查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研究对象：开谷子店/在谷子店消费的店主与二次元消费者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核心问题/变量：谷子店开店潮（2024-2025）与倒闭潮（2026）、进货与滞销（冷门IP）、客群（学生/上班族）、线上代购冲击、转型方向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H1：谷子店开店潮（2024-2025）与倒闭潮（2026）、进货与滞销（冷门IP）显著影响转型方向（待验证）；H2：不同人群（年龄/收入/城市等级）在上述关系中存在调节作用（待验证）。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🔶谷子经济报道（央媒须下载核验）；🔶谷子市场数据（行业报告须下载核验）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谷子店店主问卷+商圈调研；获奖黑名单核对：近三年无谷子店倒闭潮获奖题（区别于858谷子开店潮，聚焦洗牌转型）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🔶谷子经济报道（央媒须下载核验）；🔶谷子市场数据（行业报告须下载核验）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