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1253. “痛包2.0，痛衣痛车痛房间”——痛文化消费投入意愿与社交展示需求调查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研究对象：制作痛衣/痛包/痛房间的二次元爱好者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核心问题/变量：痛文化延伸（痛衣/痛鞋/痛房间）、周边徽章吧唧消费、痛包DIY制作（材料包）、展示与社交（出街）、投入金额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H1：痛文化延伸（痛衣/痛鞋/痛房间）、周边徽章吧唧消费显著影响投入金额（待验证）；H2：不同人群（年龄/收入/城市等级）在上述关系中存在调节作用（待验证）。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🔶谷子与痛文化报道（青年媒体须下载核验）；🔶周边衍生消费数据（须下载核验）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二次元社群问卷+谷子店访谈；获奖黑名单核对：近三年无痛衣痛房间获奖题（区别于832痛包，聚焦延伸品类）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🔶谷子与痛文化报道（青年媒体须下载核验）；🔶周边衍生消费数据（须下载核验）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