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1256. “同人展摆摊，为爱发电”——同人展摊主参与意愿与收入回报预期调查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研究对象：在同人展（CP/COMICUP类）摆摊的同人创作者（摊主）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核心问题/变量：同人展摊位申请（抢摊/画师约稿）、同人志/周边制作成本、摊位收入（回本/盈利）、线下贩售体验、摊主社群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H1：同人展摊位申请（抢摊/画师约稿）、同人志/周边制作成本显著影响摊主社群（待验证）；H2：不同人群（年龄/收入/城市等级）在上述关系中存在调节作用（待验证）。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🔶同人展会活动规范（文旅部）；🔶同人展规模数据（须下载核验）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同人展摊主问卷+主办方访谈；获奖黑名单核对：近三年无同人展摊主获奖题（区别于765同人创作，聚焦展会摆摊经营）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🔶同人展会活动规范（文旅部）；🔶同人展规模数据（须下载核验）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