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1273. “角色生日应援，地铁大屏”——角色生日应援参与意愿与集资付费意愿调查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研究对象：为纸片人/偶像生日做应援（地铁大屏/粉丝集资）的粉丝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核心问题/变量：角色生日应援（大屏/灯箱/公益应援）、粉丝集资（金额）、应援形式（公益/广告）、圈内地位（排面）、争议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H1：角色生日应援（大屏/灯箱/公益应援）、粉丝集资（金额）显著影响争议（待验证）；H2：不同人群（年龄/收入/城市等级）在上述关系中存在调节作用（待验证）。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🔶广告内容与粉丝应援规范（市场监管总局）；🔶生日应援数据（须下载核验）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粉丝社群问卷+广告代理访谈；获奖黑名单核对：近三年无角色生日应援获奖题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🔶广告内容与粉丝应援规范（市场监管总局）；🔶生日应援数据（须下载核验）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