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1276. “国漫出海2.0，中国动画全球”——国漫出海海外观众接受度与付费观看意愿调查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研究对象：观看出海国漫（海外平台/剧场版）的海外观众与国内行业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核心问题/变量：国漫出海（网飞/海外院线）、海外观众接受（中式美学/玄幻）、文化输出、票房与流媒体数据、改编IP、配音本地化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漫出海（网飞/海外院线）、海外观众接受（中式美学/玄幻）（配音本地化）之间存在可检验的关系，且受群体差异（年龄/收入/地区/身份）调节（待验证）；H2：国漫出海（网飞/海外院线）、海外观众接受（中式美学/玄幻）是影响配音本地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🔶动漫产业与出海支持政策（广电总局、文旅部）；🔶国漫出海数据（须下载核验）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海外观众问卷+国漫发行方访谈；获奖黑名单核对：近三年无国漫出海获奖题（区别于184短剧出海、1015长剧出海，聚焦动画）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🔶动漫产业与出海支持政策（广电总局、文旅部）；🔶国漫出海数据（须下载核验）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