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1278. “马面裙日常化，汉服通勤”——马面裙汉服日常穿着需求与复购意愿调查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研究对象：日常穿着马面裙/汉服（通勤/上学）的年轻人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核心问题/变量：汉服日常化（马面裙百搭）、日常穿着场景（上班/地铁）、价格带与版型、外人眼光（穿着压力）、复购与衣柜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H1：汉服日常化（马面裙百搭）、日常穿着场景（上班/地铁）显著影响复购与衣柜（待验证）；H2：不同人群（年龄/收入/城市等级）在上述关系中存在调节作用（待验证）。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🔶国潮服饰与新中式消费政策（商务部）；🔶汉服日常化数据（须下载核验）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汉服社群问卷+汉服品牌访谈；获奖黑名单核对：近三年无汉服日常化获奖题（区别于192三坑日常化泛题，聚焦马面裙单品）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🔶国潮服饰与新中式消费政策（商务部）；🔶汉服日常化数据（须下载核验）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