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147. “i人经济，独处消费”——青年“独处式消费”（一人食、独自旅行、独自看展）行为研究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研究对象：18—35岁践行独处消费的青年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核心问题/变量：独处消费场景、动机（放松/拒社交压力）、支出、满意度、"I人认同"身份感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H1：独处消费场景、动机（放松/拒社交压力）显著影响"I人认同"身份感（待验证）；H2：不同人群（年龄/收入/城市等级）在上述关系中存在调节作用（待验证）。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✅新华财经2026-10:"i人经济"/安静消费升温——付费自习室、一人食、独处式休闲成假日新宠；✅33%消费者会为"一人食"专门消费、21%增加支出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一人食餐厅/独处体验馆/线上社群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✅新华财经2026-10:"i人经济"/安静消费升温——付费自习室、一人食、独处式休闲成假日新宠；✅33%消费者会为"一人食"专门消费、21%增加支出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