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151. “卡牌收藏，一卡千金”——青少年集换式卡牌消费行为与过度消费认知研究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研究对象：收藏或对战集换式卡牌（宝可梦/游戏王/奥特曼卡等）的玩家或家长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核心问题/变量：入坑途径、月均支出、稀有卡追逐、社交属性、过度消费认知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H1：入坑途径、月均支出显著影响过度消费认知（待验证）；H2：不同人群（年龄/收入/城市等级）在上述关系中存在调节作用（待验证）。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✅中国集换式卡牌2024年约263亿元、2029年预计446亿元（CAGR 11.1%）；✅卡游等头部企业营收三位数增长；✅泛二次元用户5.03亿人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卡牌店/卡游渠道+学校周边；与谷子经济（第二批32）区分：聚焦竞技收藏卡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✅中国集换式卡牌2024年约263亿元、2029年预计446亿元（CAGR 11.1%）；✅卡游等头部企业营收三位数增长；✅泛二次元用户5.03亿人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