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152. “拆卡直播间，一盒一惊喜”——直播拆卡、盲盒卡包消费行为与成瘾风险感知研究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研究对象：在直播间购买过拆卡/卡包（乌龟对对碰、拆包代拆）的消费者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核心问题/变量：观看动机、单次消费、成瘾风险感知、退货维权、理性回归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H1：观看动机、单次消费显著影响理性回归（待验证）；H2：不同人群（年龄/收入/城市等级）在上述关系中存在调节作用（待验证）。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🔶拆卡直播为2025—2026现象级消费（媒体关注"拆卡直播"乱象与监管，需引原文）；✅泛娱乐卡牌市场2025年破300亿元、2027年或冲击500亿元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拆卡直播间用户访谈+消费数据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🔶拆卡直播为2025—2026现象级消费（媒体关注"拆卡直播"乱象与监管，需引原文）；✅泛娱乐卡牌市场2025年破300亿元、2027年或冲击500亿元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