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153. “卡牌二级市场，收藏即投资”——卡牌二级市场交易行为与收藏投资意愿研究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研究对象：参与卡牌二手交易（懂淘/闲鱼/卡淘）的玩家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核心问题/变量：交易习惯、价格波动认知、投资心态vs收藏心态、平台信任、风险感知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H1：交易习惯、价格波动认知（风险感知）之间存在可检验的关系，且受群体差异（年龄/收入/地区/身份）调节（待验证）；H2：交易习惯、价格波动认知是影响风险感知的关键因素（待验证）。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✅PTCG占国内TCG交易市场七成以上成交额、宝可梦相关成交订单破1亿单（艾瑞2026H1）；✅懂淘2026卡牌季度报告（二级市场交易维度，🔶需下载原文）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卡牌交易平台/卡店渠道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✅PTCG占国内TCG交易市场七成以上成交额、宝可梦相关成交订单破1亿单（艾瑞2026H1）；✅懂淘2026卡牌季度报告（二级市场交易维度，🔶需下载原文）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