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154. “宝可梦卡牌，破圈社交”——宝可梦卡牌玩家圈层社交与消费行为研究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研究对象：宝可梦卡牌（PTCG）玩家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核心问题/变量：入坑动机（IP热爱/对战/收藏）、赛事参与、圈层社交、月均支出、退坑原因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H1：入坑动机（IP热爱/对战/收藏）、赛事参与显著影响退坑原因（待验证）；H2：不同人群（年龄/收入/城市等级）在上述关系中存在调节作用（待验证）。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✅PTCG占国内TCG交易七成成交额（艾瑞）；✅2024年中国泛二次元用户5.03亿人（潜在用户基础）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卡牌道馆赛/漫展/线上对战群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✅PTCG占国内TCG交易七成成交额（艾瑞）；✅2024年中国泛二次元用户5.03亿人（潜在用户基础）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