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157. “电竞酒店，开黑新据点”——Z世代电竞酒店消费行为与满意度研究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选题规范化（呆塔大师兄（微信：a237658765））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确定行业：16_二次元与青年潮流（选择理由：贴合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研究对象：去过电竞酒店/电竞房的 18—30 岁消费者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核心问题/变量：选择因素（设备/私密/社交）、消费频次金额、与网咖网吧对比、满意度、复购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H1：选择因素（设备/私密/社交）、消费频次金额显著影响复购（待验证）；H2：不同人群（年龄/收入/城市等级）在上述关系中存在调节作用（待验证）。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✅电竞酒店市场规模预计150亿元、连续五年+25%增速、存量门店近3万家（行业报告）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电竞酒店门店现场+游戏社群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✅电竞酒店市场规模预计150亿元、连续五年+25%增速、存量门店近3万家（行业报告）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