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159. “客厅大屏，主机回归”——主机游戏消费行为与家庭娱乐场景使用研究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研究对象：拥有主机游戏设备的 18—40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核心问题/变量：购机动机、游戏支出（实体/数字）、家庭场景使用、与移动端游戏对比、满意度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H1：购机动机、游戏支出（实体/数字）显著影响满意度（待验证）；H2：不同人群（年龄/收入/城市等级）在上述关系中存在调节作用（待验证）。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🔶我国主机游戏市场扩容（《2025中国游戏产业报告》：主机收入增长，🔶需下载核对）；✅数字娱乐与家庭消费升级背景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主机游戏社群/电玩店渠道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🔶我国主机游戏市场扩容（《2025中国游戏产业报告》：主机收入增长，🔶需下载核对）；✅数字娱乐与家庭消费升级背景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