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161. “手机游戏，钱包战场”——手游内购消费行为与抽卡理性认知研究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研究对象：玩手游且有内购经历（含抽卡）的 18—30 岁用户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核心问题/变量：月均内购、抽卡动机、保底机制认知、后悔感/理性、防沉迷自律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H1：月均内购、抽卡动机显著影响防沉迷自律（待验证）；H2：不同人群（年龄/收入/城市等级）在上述关系中存在调节作用（待验证）。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🔶移动游戏收入占比（2026上半年移动游戏收入占比超七成，检索信息）；✅未成年人防沉迷新规（方向见板块十）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手游社区/校园渠道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🔶移动游戏收入占比（2026上半年移动游戏收入占比超七成，检索信息）；✅未成年人防沉迷新规（方向见板块十）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