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193. “一展带一城，漫展经济”——大型漫展（BW、CP）的文旅消费带动效应研究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建议地区：广州（可按省/市细化抽样框）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研究对象：参加过大型漫展的观众/摊主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核心问题/变量：参展动机、展内消费（门票/周边/餐饮）、跨城出行、周边酒店餐饮消费、满意度、复参意愿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H1：参展动机、展内消费（门票/周边/餐饮）显著影响复参意愿（待验证）；H2：不同人群（年龄/收入/城市等级）在上述关系中存在调节作用（待验证）。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✅BW2026三天40万人次、首次面向全球190多个国家和地区售票；✅CP32预计为杭州带来超10亿元文商旅综合消费、漫展周边5公里酒店预订量飙升600%；✅广州漫展45%观众消费100-500元、政府配套发5万张美食消费券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漫展现场问卷+参展社群；与第三批75（演出带动跨城）区分：聚焦动漫展会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✅BW2026三天40万人次、首次面向全球190多个国家和地区售票；✅CP32预计为杭州带来超10亿元文商旅综合消费、漫展周边5公里酒店预订量飙升600%；✅广州漫展45%观众消费100-500元、政府配套发5万张美食消费券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