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194. “IP联名餐厅，二次元吃饭”——IP联名主题餐饮的消费动机与复购意愿研究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研究对象：为IP联名餐饮（原神/柯南/二次元主题店等）消费过的 Z 世代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核心问题/变量：打卡动机（IP热爱/限定周边）、单次消费、菜品评价、周边获取、复购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H1：打卡动机（IP热爱/限定周边）、单次消费显著影响复购（待验证）；H2：不同人群（年龄/收入/城市等级）在上述关系中存在调节作用（待验证）。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✅IP联名餐饮为常态打法：康师傅冰红茶、雀巢脆脆鲨联名原神；✅单场漫展拉动上亿元消费（餐饮联名周边）；✅二次元IP渗透餐饮/美妆/出行场景（行业趋势🔶）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联名餐厅现场调研+谷子社群渠道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✅IP联名餐饮为常态打法：康师傅冰红茶、雀巢脆脆鲨联名原神；✅单场漫展拉动上亿元消费（餐饮联名周边）；✅二次元IP渗透餐饮/美妆/出行场景（行业趋势🔶）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