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196. “吃谷×三坑，圈层交叉”——谷子与三坑服饰交叉消费的圈层认同与预算分配研究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研究对象：同时消费谷子（周边）与三坑服饰的泛二次元用户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核心问题/变量：消费结构（谷子vs服饰）、IP偏好、月均支出、圈层社交、收藏展示、预算分配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H1：消费结构（谷子vs服饰）、IP偏好显著影响预算分配（待验证）；H2：不同人群（年龄/收入/城市等级）在上述关系中存在调节作用（待验证）。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✅"吃谷"是情感消费的极致形态、三坑/潮玩/谷子人群高度重叠（行业分析🔶）；✅泛二次元用户5.03亿人（中邮证券）；✅谷子经济2025年2021亿元（第二批已核验）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漫展/谷子店/三坑店渠道；与32题（谷子）区分：聚焦"谷子×三坑"交叉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✅"吃谷"是情感消费的极致形态、三坑/潮玩/谷子人群高度重叠（行业分析🔶）；✅泛二次元用户5.03亿人（中邮证券）；✅谷子经济2025年2021亿元（第二批已核验）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