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210. “电竞馆转型，社交新据点”——网吧、电竞馆向社交娱乐空间转型的消费需求研究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建议地区：上海（可按省/市细化抽样框）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研究对象：去过转型电竞馆/综合娱乐空间（电竞+桌游+影音）的消费者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核心问题/变量：到店动机（组队/聚会/赛事观赛）、消费结构、与纯网咖对比、满意度、会员意愿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H1：到店动机（组队/聚会/赛事观赛）、消费结构显著影响会员意愿（待验证）；H2：不同人群（年龄/收入/城市等级）在上述关系中存在调节作用（待验证）。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✅电竞酒店150亿元、5年+25%（行业数据，类比支撑）；🔶网咖行业转型"电竞馆/网咖2.0"（媒体）；✅电竞产业规模（中国音数协报告🔶需下载）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电竞馆门店现场+游戏社群；与157题（电竞酒店）区分：聚焦日间娱乐空间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✅电竞酒店150亿元、5年+25%（行业数据，类比支撑）；🔶网咖行业转型"电竞馆/网咖2.0"（媒体）；✅电竞产业规模（中国音数协报告🔶需下载）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