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031. “情绪消费，悦己有价”——Z 世代青年情绪价值消费意愿及影响因素研究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选题规范化（呆塔大师兄（微信：a237658765））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确定行业：16_二次元与青年潮流（选择理由：贴合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研究对象：18—35 岁城市青年消费者（Z 世代）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核心问题/变量：情绪价值感知、悦己动机、消费意愿、满意度、复购意愿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H1：情绪价值感知、悦己动机显著影响复购意愿（待验证）；H2：不同人群（年龄/收入/城市等级）在上述关系中存在调节作用（待验证）。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- **参考来源**：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