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033. “棉花娃娃，娃圈经济”——棉花娃娃玩家消费行为与复购意愿研究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研究对象：棉花娃娃玩家（“娃妈/娃爸”）及为娃消费的 15—35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核心问题/变量：入坑动机（IP 情感寄托、装扮陪伴、解压）、娃与娃衣消费金额与频次、娃圈社交（晒娃、娃展、娃群）、定制与二创参与、与谷子/手办消费的比较与交叉、情感满足与复购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H1：入坑动机（IP 情感寄托、装扮陪伴显著影响情感满足与复购（待验证）；H2：不同人群（年龄/收入/城市等级）在上述关系中存在调节作用（待验证）。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🔶棉花娃娃“娃圈经济”规模与娃衣产业（行业媒体、电商平台数据须下载原文核验）；✅2025 年中国谷子经济市场规模 2021 亿元、同比增 19.66%，2026 年预计 2265 亿元（央广网，第二批证据）；✅泛二次元用户超 5.2 亿人（第二批证据）；🔶娃圈定制、娃展活动报道（媒体线索需核验）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娃圈社群（微博超话、小红书、闲鱼娃圈）渠道成熟；问卷+访谈可并行；与032（谷子经济）区分：聚焦棉花娃娃专项与娃衣产业链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🔶棉花娃娃“娃圈经济”规模与娃衣产业（行业媒体、电商平台数据须下载原文核验）；✅2025 年中国谷子经济市场规模 2021 亿元、同比增 19.66%，2026 年预计 2265 亿元（央广网，第二批证据）；✅泛二次元用户超 5.2 亿人（第二批证据）；🔶娃圈定制、娃展活动报道（媒体线索需核验）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