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034. “情绪疗愈，解压有道”——青年情绪疗愈型消费（香薰、冥想、解压馆）需求研究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 岁有压力情绪的都市青年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核心问题/变量：压力感知、疗愈消费动机、支付意愿、满意度、重复消费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H1：压力感知、疗愈消费动机显著影响重复消费（待验证）；H2：不同人群（年龄/收入/城市等级）在上述关系中存在调节作用（待验证）。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