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411. “怀旧消费，回到过去”——怀旧经济消费行为与情感动机研究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研究对象：购买/收藏怀旧物品的 20—40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核心问题/变量：怀旧品类（CD/磁带/老玩具）、购买渠道（中古店/线上）、情感动机、价格接受、社交分享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H1：怀旧品类（CD/磁带/老玩具）、购买渠道（中古店/线上）显著影响社交分享（待验证）；H2：不同人群（年龄/收入/城市等级）在上述关系中存在调节作用（待验证）。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🔶怀旧经济（"复古潮"媒体需引原文）；✅情绪经济27186亿（已核验）；✅二手交易破3万亿（第十三批证据，怀旧流通通道）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中古/怀旧主题店铺+线上社群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🔶怀旧经济（"复古潮"媒体需引原文）；✅情绪经济27186亿（已核验）；✅二手交易破3万亿（第十三批证据，怀旧流通通道）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