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413. “手账本里的精致生活”——手账文创消费行为与品牌选择偏好研究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研究对象：使用手账/胶带/文具的 15—35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核心问题/变量：手账用途（日程/日记/拼贴）、年度文具花费、国产文创品牌选择、线下文具店体验、复购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H1：手账用途（日程/日记/拼贴）、年度文具花费显著影响复购（待验证）；H2：不同人群（年龄/收入/城市等级）在上述关系中存在调节作用（待验证）。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🔶手账/文具市场（行业报告需核验）；✅"文具文创化"趋势（得力/晨光转型案例媒体）；✅情绪消费与悦己（已核验）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文创文具店现场+手账社群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🔶手账/文具市场（行业报告需核验）；✅"文具文创化"趋势（得力/晨光转型案例媒体）；✅情绪消费与悦己（已核验）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