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471. “IP 联名，一杯难求”——品牌IP联名（奶茶、快餐、盲盒）消费动机与溢价接受研究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研究对象：为IP联名（动漫/游戏/影视）买单的 15—35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核心问题/变量：联名产品购买动机、溢价接受、收藏与使用、社交媒体晒单、消费频次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H1：联名产品购买动机、溢价接受显著影响消费频次（待验证）；H2：不同人群（年龄/收入/城市等级）在上述关系中存在调节作用（待验证）。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🔶IP联名经济（新茶饮联名案例媒体需核验）；✅谷子经济破百亿（第七轮已核验）；✅情绪消费（已核验）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联名门店现场+线上社群；与206-210（三坑）区分：聚焦联名营销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🔶IP联名经济（新茶饮联名案例媒体需核验）；✅谷子经济破百亿（第七轮已核验）；✅情绪消费（已核验）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