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498. “卡牌评级，身价几何”——收藏卡牌评级、送评消费动机与支付意愿研究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研究对象：拆卡/集卡（球星卡/奥特曼卡/TCG）的爱好者及家长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核心问题/变量：拆卡动机（收集/赌博感/社交）、单卡价格、稀有卡交易（评级）、青少年参与、理性边界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拆卡动机（收集/赌博感/社交）、单卡价格（理性边界）之间存在可检验的关系，且受群体差异（年龄/收入/地区/身份）调节（待验证）；H2：拆卡动机（收集/赌博感/社交）、单卡价格是影响理性边界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🔶球星卡市场暴涨（Panini/Topps中国数据媒体需核验）；✅卡牌出版（"卡游"上市媒体）；✅未成年人拆卡监管讨论（媒体）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卡牌店/拆卡直播间渠道；与156题（卡牌桌游）区分：聚焦收藏卡市场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🔶球星卡市场暴涨（Panini/Topps中国数据媒体需核验）；✅卡牌出版（"卡游"上市媒体）；✅未成年人拆卡监管讨论（媒体）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