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507. “电子木鱼，赛博祈福”——青年数字灵修工具使用动机与付费意愿调查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研究对象：使用电子木鱼、赛博功德、线上祈福等数字灵修工具的年轻人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核心问题/变量：使用动机（解压/仪式感/流行从众）、为数字祈福的付费意愿（虚拟香火、会员）、对“数字迷信”的自我认知、圈层传播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H1：使用动机（解压/仪式感/流行从众）、为数字祈福的付费意愿（虚拟香火显著影响圈层传播（待验证）；H2：不同人群（年龄/收入/城市等级）在上述关系中存在调节作用（待验证）。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🔶电子木鱼等数字灵修产品走红报道（媒体，须下载核验）；✅青年情绪消费与心理健康政策（已有线索）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应用商店/社交平台社群问卷；与140（祈福手串实体）区分：聚焦数字灵修；与034（疗愈）区分：突出现象学视角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🔶电子木鱼等数字灵修产品走红报道（媒体，须下载核验）；✅青年情绪消费与心理健康政策（已有线索）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