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603. “谷子改娃，二次元手工”——谷圈改娃创作的需求与消费意愿研究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研究对象：参与改娃（娃娃改造）、捏土、道具制作等谷圈手工的爱好者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核心问题/变量：改娃动机（个性化/创作表达）、工具材料消费、教程付费、圈层分享、成品交易、时间投入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H1：改娃动机（个性化/创作表达）、工具材料消费显著影响时间投入（待验证）；H2：不同人群（年龄/收入/城市等级）在上述关系中存在调节作用（待验证）。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🔶改娃/手作圈层报道（行业媒体须下载核验）；✅知识产权与二次创作边界（民法典）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改娃社群问卷+手作材料商家访谈；区别于032（谷子购买）聚焦改娃创作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🔶改娃/手作圈层报道（行业媒体须下载核验）；✅知识产权与二次创作边界（民法典）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