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623. “盲盒二手市场，隐藏款溢价”——盲盒二手交易行为与隐藏款溢价支付意愿调查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研究对象：参与盲盒二手交易（闲鱼/潮玩社群）的玩家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核心问题/变量：盲盒重复/隐藏款处理、二手溢价成交、炒作与投机、圈内潮流变化、平台规范感知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盲盒重复/隐藏款处理、二手溢价成交（平台规范感知）之间存在可检验的关系，且受群体差异（年龄/收入/地区/身份）调节（待验证）；H2：盲盒重复/隐藏款处理、二手溢价成交是影响平台规范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🔶盲盒二手交易报道（媒体须下载核验）；✅盲盒经营规范指引（市场监管总局）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潮玩社群问卷+二手平台数据；获奖黑名单核对：近三年无盲盒二手获奖题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🔶盲盒二手交易报道（媒体须下载核验）；✅盲盒经营规范指引（市场监管总局）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