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675. “痛车文化，二次元上路”——痛车消费需求调查与市场机会挖掘研究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研究对象：拥有或了解痛车（动漫主题车贴）的二次元用户与车主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核心问题/变量：痛车改造成本与DIY参与、圈层展示（漫展/车聚）、备案合规认知、路人态度、与改色膜（578）区别、复购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H1：痛车改造成本与DIY参与、圈层展示（漫展/车聚）显著影响复购（待验证）；H2：不同人群（年龄/收入/城市等级）在上述关系中存在调节作用（待验证）。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🔶痛车文化报道（动漫媒体须下载核验）；✅机动车变更登记规定（公安部）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痛车群问卷+车膜店访谈；获奖黑名单核对：近三年无痛车获奖题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🔶痛车文化报道（动漫媒体须下载核验）；✅机动车变更登记规定（公安部）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